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E018" w14:textId="141CE558" w:rsidR="00816E32" w:rsidRDefault="00816E32">
      <w:bookmarkStart w:id="0" w:name="_GoBack"/>
      <w:permStart w:id="1625390100" w:ed="Amy.Challans2@sa.gov.au"/>
    </w:p>
    <w:p w14:paraId="4673C586" w14:textId="7A4A4C78" w:rsidR="00EC2FEE" w:rsidRPr="00A46DB2" w:rsidRDefault="00EC2FEE" w:rsidP="00EC2FEE">
      <w:pPr>
        <w:pStyle w:val="Heading1"/>
      </w:pPr>
      <w:bookmarkStart w:id="1" w:name="_Toc54171685"/>
      <w:bookmarkStart w:id="2" w:name="_Toc47632748"/>
      <w:bookmarkEnd w:id="0"/>
      <w:permEnd w:id="1625390100"/>
      <w:r w:rsidRPr="00A46DB2">
        <w:t xml:space="preserve">Inclusive </w:t>
      </w:r>
      <w:r>
        <w:t>C</w:t>
      </w:r>
      <w:r w:rsidRPr="00A46DB2">
        <w:t xml:space="preserve">ommunities </w:t>
      </w:r>
      <w:proofErr w:type="gramStart"/>
      <w:r>
        <w:t>F</w:t>
      </w:r>
      <w:r w:rsidRPr="00A46DB2">
        <w:t>or</w:t>
      </w:r>
      <w:proofErr w:type="gramEnd"/>
      <w:r w:rsidRPr="00A46DB2">
        <w:t xml:space="preserve"> </w:t>
      </w:r>
      <w:r>
        <w:t>A</w:t>
      </w:r>
      <w:r w:rsidRPr="00A46DB2">
        <w:t>ll</w:t>
      </w:r>
      <w:bookmarkEnd w:id="1"/>
      <w:r>
        <w:t xml:space="preserve"> </w:t>
      </w:r>
      <w:r w:rsidRPr="00711B7C">
        <w:rPr>
          <w:i/>
          <w:iCs/>
          <w:sz w:val="20"/>
          <w:szCs w:val="20"/>
        </w:rPr>
        <w:t>(Extract from the DIAP)</w:t>
      </w:r>
    </w:p>
    <w:p w14:paraId="626D8DAE" w14:textId="77777777" w:rsidR="00EC2FEE" w:rsidRPr="00A46DB2" w:rsidRDefault="00EC2FEE" w:rsidP="00EC2FEE">
      <w:pPr>
        <w:spacing w:line="259" w:lineRule="auto"/>
        <w:rPr>
          <w:bCs/>
        </w:rPr>
      </w:pPr>
      <w:r w:rsidRPr="00A46DB2">
        <w:rPr>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1FE12A8C" w14:textId="77777777" w:rsidR="00EC2FEE" w:rsidRPr="003E76A3" w:rsidRDefault="00EC2FEE" w:rsidP="00EC2FEE">
      <w:pPr>
        <w:pStyle w:val="Title"/>
      </w:pPr>
      <w:r w:rsidRPr="003E76A3">
        <w:t>Action 1</w:t>
      </w:r>
      <w:r>
        <w:t xml:space="preserve"> (All Agencies)</w:t>
      </w:r>
    </w:p>
    <w:p w14:paraId="1C2A0AA3" w14:textId="77777777" w:rsidR="00EC2FEE" w:rsidRPr="00404848" w:rsidRDefault="00EC2FEE" w:rsidP="00EC2FEE">
      <w:pPr>
        <w:spacing w:line="259" w:lineRule="auto"/>
      </w:pPr>
      <w:r w:rsidRPr="00A46DB2">
        <w:rPr>
          <w:szCs w:val="22"/>
        </w:rPr>
        <w:t xml:space="preserve">Ensure that all internal and external stakeholder related activities and events are accessible to all members of the community including people </w:t>
      </w:r>
      <w:r>
        <w:rPr>
          <w:szCs w:val="22"/>
        </w:rPr>
        <w:t xml:space="preserve">living </w:t>
      </w:r>
      <w:r w:rsidRPr="00A46DB2">
        <w:rPr>
          <w:szCs w:val="22"/>
        </w:rPr>
        <w:t>with disability</w:t>
      </w:r>
      <w:r>
        <w:rPr>
          <w:szCs w:val="22"/>
        </w:rPr>
        <w:t xml:space="preserve"> </w:t>
      </w:r>
      <w:r w:rsidRPr="00514351">
        <w:t xml:space="preserve">and </w:t>
      </w:r>
      <w:r w:rsidRPr="00404848">
        <w:t>support young people living with disability to actively participate in decision making.</w:t>
      </w:r>
    </w:p>
    <w:p w14:paraId="13E6D786" w14:textId="77777777" w:rsidR="00EC2FEE" w:rsidRPr="00404848" w:rsidRDefault="00EC2FEE" w:rsidP="00EC2FEE">
      <w:pPr>
        <w:pStyle w:val="Title"/>
      </w:pPr>
      <w:r w:rsidRPr="00404848">
        <w:t xml:space="preserve">Action 1: Measurable Target </w:t>
      </w:r>
    </w:p>
    <w:p w14:paraId="19E6EE06" w14:textId="77777777" w:rsidR="00EC2FEE" w:rsidRPr="00A97D06" w:rsidRDefault="00EC2FEE" w:rsidP="00EC2FEE">
      <w:pPr>
        <w:pStyle w:val="BulletList"/>
        <w:numPr>
          <w:ilvl w:val="0"/>
          <w:numId w:val="0"/>
        </w:numPr>
        <w:spacing w:before="120" w:after="120" w:line="259" w:lineRule="auto"/>
        <w:rPr>
          <w:bCs/>
        </w:rPr>
      </w:pPr>
      <w:r w:rsidRPr="00A97D06">
        <w:rPr>
          <w:bCs/>
        </w:rPr>
        <w:t>Communication, community engagement</w:t>
      </w:r>
      <w:r>
        <w:rPr>
          <w:bCs/>
        </w:rPr>
        <w:t xml:space="preserve">, </w:t>
      </w:r>
      <w:r w:rsidRPr="00A97D06">
        <w:rPr>
          <w:bCs/>
        </w:rPr>
        <w:t>event management strategies</w:t>
      </w:r>
      <w:r>
        <w:rPr>
          <w:bCs/>
        </w:rPr>
        <w:t xml:space="preserve"> and</w:t>
      </w:r>
      <w:r w:rsidRPr="00A97D06">
        <w:rPr>
          <w:bCs/>
        </w:rPr>
        <w:t xml:space="preserve"> frameworks give due consideration to access and inclusion requirements.</w:t>
      </w:r>
    </w:p>
    <w:p w14:paraId="4B461473" w14:textId="77777777" w:rsidR="00EC2FEE" w:rsidRPr="00A97D06" w:rsidRDefault="00EC2FEE" w:rsidP="00EC2FEE">
      <w:pPr>
        <w:pStyle w:val="BulletList"/>
        <w:numPr>
          <w:ilvl w:val="0"/>
          <w:numId w:val="0"/>
        </w:numPr>
        <w:spacing w:before="120" w:after="120" w:line="259" w:lineRule="auto"/>
        <w:rPr>
          <w:bCs/>
        </w:rPr>
      </w:pPr>
      <w:r w:rsidRPr="00A97D06">
        <w:rPr>
          <w:bCs/>
        </w:rPr>
        <w:t xml:space="preserve">The proportion of people living with disability who attend Agency </w:t>
      </w:r>
      <w:r w:rsidRPr="00A97D06">
        <w:t xml:space="preserve">events, meetings, conferences, workshops. </w:t>
      </w:r>
    </w:p>
    <w:p w14:paraId="5A8B696D" w14:textId="77777777" w:rsidR="00EC2FEE" w:rsidRPr="00A46DB2" w:rsidRDefault="00EC2FEE" w:rsidP="00EC2FEE">
      <w:pPr>
        <w:pStyle w:val="Title"/>
      </w:pPr>
      <w:r w:rsidRPr="00A46DB2">
        <w:t>Action 2</w:t>
      </w:r>
      <w:r>
        <w:t xml:space="preserve"> (All Agencies)</w:t>
      </w:r>
    </w:p>
    <w:p w14:paraId="315858C9" w14:textId="77777777" w:rsidR="00EC2FEE" w:rsidRPr="00A65C8C" w:rsidRDefault="00EC2FEE" w:rsidP="00EC2FEE">
      <w:pPr>
        <w:rPr>
          <w:b/>
        </w:rPr>
      </w:pPr>
      <w:r w:rsidRPr="00A65C8C">
        <w:t>Public facing information, publications</w:t>
      </w:r>
      <w:r>
        <w:t xml:space="preserve"> and </w:t>
      </w:r>
      <w:r w:rsidRPr="00A65C8C">
        <w:t>resources to be provided in a range of alternate formats wherever possible.</w:t>
      </w:r>
    </w:p>
    <w:p w14:paraId="2552D6DC" w14:textId="77777777" w:rsidR="00EC2FEE" w:rsidRPr="00A46DB2" w:rsidRDefault="00EC2FEE" w:rsidP="00EC2FEE">
      <w:pPr>
        <w:pStyle w:val="Title"/>
      </w:pPr>
      <w:r w:rsidRPr="00A46DB2">
        <w:t xml:space="preserve">Action 2: Measurable Target </w:t>
      </w:r>
    </w:p>
    <w:p w14:paraId="76098678" w14:textId="77777777" w:rsidR="00EC2FEE" w:rsidRPr="008651E8" w:rsidRDefault="00EC2FEE" w:rsidP="00EC2FEE">
      <w:pPr>
        <w:pStyle w:val="Tablereflist"/>
        <w:numPr>
          <w:ilvl w:val="0"/>
          <w:numId w:val="0"/>
        </w:numPr>
        <w:spacing w:after="120" w:line="259" w:lineRule="auto"/>
        <w:contextualSpacing w:val="0"/>
        <w:rPr>
          <w:rFonts w:ascii="Arial" w:hAnsi="Arial"/>
          <w:sz w:val="24"/>
        </w:rPr>
      </w:pPr>
      <w:r w:rsidRPr="008651E8">
        <w:rPr>
          <w:rFonts w:ascii="Arial" w:hAnsi="Arial"/>
          <w:bCs/>
          <w:sz w:val="24"/>
        </w:rPr>
        <w:t>Public facing materials provided in a range of alternate formats</w:t>
      </w:r>
      <w:r w:rsidRPr="008651E8">
        <w:rPr>
          <w:rFonts w:ascii="Arial" w:hAnsi="Arial"/>
          <w:sz w:val="24"/>
        </w:rPr>
        <w:t xml:space="preserve"> upon request.</w:t>
      </w:r>
    </w:p>
    <w:p w14:paraId="66788D8C" w14:textId="77777777" w:rsidR="00EC2FEE" w:rsidRPr="008651E8" w:rsidRDefault="00EC2FEE" w:rsidP="00EC2FEE">
      <w:pPr>
        <w:pStyle w:val="Tablereflist"/>
        <w:numPr>
          <w:ilvl w:val="0"/>
          <w:numId w:val="0"/>
        </w:numPr>
        <w:spacing w:after="120" w:line="259" w:lineRule="auto"/>
        <w:contextualSpacing w:val="0"/>
        <w:rPr>
          <w:rFonts w:ascii="Arial" w:hAnsi="Arial"/>
          <w:bCs/>
          <w:sz w:val="24"/>
        </w:rPr>
      </w:pPr>
      <w:r w:rsidRPr="008651E8">
        <w:rPr>
          <w:rFonts w:ascii="Arial" w:hAnsi="Arial"/>
          <w:sz w:val="24"/>
        </w:rPr>
        <w:t>The number of requests met</w:t>
      </w:r>
      <w:r>
        <w:rPr>
          <w:rFonts w:ascii="Arial" w:hAnsi="Arial"/>
          <w:sz w:val="24"/>
        </w:rPr>
        <w:t xml:space="preserve"> for information to be provided in alternate formats. </w:t>
      </w:r>
    </w:p>
    <w:p w14:paraId="39DB19B0" w14:textId="77777777" w:rsidR="00EC2FEE" w:rsidRPr="00A46DB2" w:rsidRDefault="00EC2FEE" w:rsidP="00EC2FEE">
      <w:pPr>
        <w:pStyle w:val="Title"/>
      </w:pPr>
      <w:r w:rsidRPr="00A46DB2">
        <w:t>Action 3</w:t>
      </w:r>
      <w:r>
        <w:t xml:space="preserve"> (All Agencies)</w:t>
      </w:r>
    </w:p>
    <w:p w14:paraId="25754902" w14:textId="77777777" w:rsidR="00EC2FEE" w:rsidRPr="006F7773" w:rsidRDefault="00EC2FEE" w:rsidP="00EC2FEE">
      <w:pPr>
        <w:pStyle w:val="Tablereflist"/>
        <w:numPr>
          <w:ilvl w:val="0"/>
          <w:numId w:val="0"/>
        </w:numPr>
        <w:spacing w:line="259" w:lineRule="auto"/>
        <w:contextualSpacing w:val="0"/>
        <w:rPr>
          <w:rFonts w:ascii="Arial" w:hAnsi="Arial"/>
          <w:sz w:val="24"/>
        </w:rPr>
      </w:pPr>
      <w:r w:rsidRPr="006F7773">
        <w:rPr>
          <w:rFonts w:ascii="Arial" w:hAnsi="Arial"/>
          <w:bCs/>
          <w:sz w:val="24"/>
        </w:rPr>
        <w:t xml:space="preserve">Agency websites to contain information on how to request </w:t>
      </w:r>
      <w:r>
        <w:rPr>
          <w:rFonts w:ascii="Arial" w:hAnsi="Arial"/>
          <w:bCs/>
          <w:sz w:val="24"/>
        </w:rPr>
        <w:t xml:space="preserve">materials </w:t>
      </w:r>
      <w:r w:rsidRPr="006F7773">
        <w:rPr>
          <w:rFonts w:ascii="Arial" w:hAnsi="Arial"/>
          <w:bCs/>
          <w:sz w:val="24"/>
        </w:rPr>
        <w:t xml:space="preserve">in alternate formats. </w:t>
      </w:r>
    </w:p>
    <w:p w14:paraId="1F7EA3ED" w14:textId="77777777" w:rsidR="00EC2FEE" w:rsidRPr="006F7773" w:rsidRDefault="00EC2FEE" w:rsidP="00EC2FEE">
      <w:pPr>
        <w:pStyle w:val="Tabletext"/>
        <w:spacing w:before="240" w:after="240" w:line="259" w:lineRule="auto"/>
        <w:rPr>
          <w:rFonts w:ascii="Arial" w:hAnsi="Arial"/>
          <w:b/>
          <w:sz w:val="28"/>
          <w:szCs w:val="28"/>
        </w:rPr>
      </w:pPr>
      <w:r w:rsidRPr="006F7773">
        <w:rPr>
          <w:rFonts w:ascii="Arial" w:hAnsi="Arial"/>
          <w:b/>
          <w:sz w:val="28"/>
          <w:szCs w:val="28"/>
        </w:rPr>
        <w:t xml:space="preserve">Action 3: Measurable Target </w:t>
      </w:r>
    </w:p>
    <w:p w14:paraId="5863788A" w14:textId="77777777" w:rsidR="00EC2FEE" w:rsidRPr="0095180F" w:rsidRDefault="00EC2FEE" w:rsidP="00EC2FEE">
      <w:pPr>
        <w:pStyle w:val="Tablereflist"/>
        <w:numPr>
          <w:ilvl w:val="0"/>
          <w:numId w:val="0"/>
        </w:numPr>
        <w:spacing w:before="240" w:after="240" w:line="259" w:lineRule="auto"/>
        <w:contextualSpacing w:val="0"/>
        <w:rPr>
          <w:rFonts w:ascii="Arial" w:hAnsi="Arial"/>
          <w:sz w:val="24"/>
        </w:rPr>
      </w:pPr>
      <w:r w:rsidRPr="0095180F">
        <w:rPr>
          <w:rFonts w:ascii="Arial" w:hAnsi="Arial"/>
          <w:bCs/>
          <w:sz w:val="24"/>
        </w:rPr>
        <w:t xml:space="preserve">Agency websites </w:t>
      </w:r>
      <w:r>
        <w:rPr>
          <w:rFonts w:ascii="Arial" w:hAnsi="Arial"/>
          <w:bCs/>
          <w:sz w:val="24"/>
        </w:rPr>
        <w:t xml:space="preserve">to </w:t>
      </w:r>
      <w:r w:rsidRPr="0095180F">
        <w:rPr>
          <w:rFonts w:ascii="Arial" w:hAnsi="Arial"/>
          <w:bCs/>
          <w:sz w:val="24"/>
        </w:rPr>
        <w:t xml:space="preserve">contain information on how to request information in alternate formats. </w:t>
      </w:r>
    </w:p>
    <w:p w14:paraId="7B141DDF" w14:textId="77777777" w:rsidR="00EC2FEE" w:rsidRPr="00A46DB2" w:rsidRDefault="00EC2FEE" w:rsidP="00EC2FEE">
      <w:pPr>
        <w:pStyle w:val="Title"/>
      </w:pPr>
      <w:r w:rsidRPr="00A46DB2">
        <w:t>Action 4</w:t>
      </w:r>
      <w:r>
        <w:t xml:space="preserve"> (All Agencies)</w:t>
      </w:r>
    </w:p>
    <w:p w14:paraId="4DCAE8C0" w14:textId="77777777" w:rsidR="00EC2FEE" w:rsidRPr="00EA47B2" w:rsidRDefault="00EC2FEE" w:rsidP="00EC2FEE">
      <w:pPr>
        <w:spacing w:after="0" w:line="259" w:lineRule="auto"/>
      </w:pPr>
      <w:r w:rsidRPr="00EA47B2">
        <w:t xml:space="preserve">Publish this Disability Access and Inclusion Plan in a format that is accessible for people </w:t>
      </w:r>
      <w:r>
        <w:t xml:space="preserve">living </w:t>
      </w:r>
      <w:r w:rsidRPr="00EA47B2">
        <w:t xml:space="preserve">with disability </w:t>
      </w:r>
      <w:r>
        <w:t xml:space="preserve">on </w:t>
      </w:r>
      <w:r w:rsidRPr="00EA47B2">
        <w:t xml:space="preserve">all Agency websites. </w:t>
      </w:r>
    </w:p>
    <w:p w14:paraId="7C4FE796" w14:textId="77777777" w:rsidR="00EC2FEE" w:rsidRDefault="00EC2FEE" w:rsidP="00EC2FEE">
      <w:pPr>
        <w:spacing w:after="120"/>
        <w:rPr>
          <w:rFonts w:eastAsiaTheme="majorEastAsia" w:cstheme="majorBidi"/>
          <w:b/>
          <w:spacing w:val="-10"/>
          <w:kern w:val="28"/>
          <w:sz w:val="28"/>
          <w:szCs w:val="56"/>
        </w:rPr>
      </w:pPr>
      <w:r>
        <w:br w:type="page"/>
      </w:r>
    </w:p>
    <w:p w14:paraId="20745D88" w14:textId="77777777" w:rsidR="00EC2FEE" w:rsidRPr="00A46DB2" w:rsidRDefault="00EC2FEE" w:rsidP="00EC2FEE">
      <w:pPr>
        <w:pStyle w:val="Title"/>
      </w:pPr>
      <w:r w:rsidRPr="00A46DB2">
        <w:lastRenderedPageBreak/>
        <w:t xml:space="preserve">Action 4: Measurable Target </w:t>
      </w:r>
    </w:p>
    <w:p w14:paraId="2B34DD95" w14:textId="77777777" w:rsidR="00EC2FEE" w:rsidRPr="002A0EE9" w:rsidRDefault="00EC2FEE" w:rsidP="00EC2FEE">
      <w:pPr>
        <w:pStyle w:val="Tablereflist"/>
        <w:numPr>
          <w:ilvl w:val="0"/>
          <w:numId w:val="0"/>
        </w:numPr>
        <w:spacing w:line="259" w:lineRule="auto"/>
        <w:rPr>
          <w:rFonts w:ascii="Arial" w:hAnsi="Arial"/>
          <w:sz w:val="24"/>
        </w:rPr>
      </w:pPr>
      <w:r w:rsidRPr="002A0EE9">
        <w:rPr>
          <w:rFonts w:ascii="Arial" w:hAnsi="Arial"/>
          <w:sz w:val="24"/>
        </w:rPr>
        <w:t xml:space="preserve">An accessible version of this Disability Access and Inclusion Plan </w:t>
      </w:r>
      <w:r>
        <w:rPr>
          <w:rFonts w:ascii="Arial" w:hAnsi="Arial"/>
          <w:sz w:val="24"/>
        </w:rPr>
        <w:t xml:space="preserve">contained </w:t>
      </w:r>
      <w:r w:rsidRPr="002A0EE9">
        <w:rPr>
          <w:rFonts w:ascii="Arial" w:hAnsi="Arial"/>
          <w:sz w:val="24"/>
        </w:rPr>
        <w:t>on all Agency websites.</w:t>
      </w:r>
    </w:p>
    <w:p w14:paraId="2625794B" w14:textId="77777777" w:rsidR="00EC2FEE" w:rsidRPr="00A46DB2" w:rsidRDefault="00EC2FEE" w:rsidP="00EC2FEE">
      <w:pPr>
        <w:pStyle w:val="Title"/>
      </w:pPr>
      <w:r w:rsidRPr="00A46DB2">
        <w:t xml:space="preserve">Action </w:t>
      </w:r>
      <w:r>
        <w:t>5 (SAFECOM)</w:t>
      </w:r>
    </w:p>
    <w:p w14:paraId="06AAF5C3" w14:textId="77777777" w:rsidR="00EC2FEE" w:rsidRPr="00A46DB2" w:rsidRDefault="00EC2FEE" w:rsidP="00EC2FEE">
      <w:pPr>
        <w:pStyle w:val="Tabletext"/>
        <w:spacing w:line="259" w:lineRule="auto"/>
        <w:rPr>
          <w:rFonts w:ascii="Arial" w:hAnsi="Arial"/>
          <w:sz w:val="24"/>
        </w:rPr>
      </w:pPr>
      <w:r w:rsidRPr="00A46DB2">
        <w:rPr>
          <w:rFonts w:ascii="Arial" w:hAnsi="Arial"/>
          <w:sz w:val="24"/>
        </w:rPr>
        <w:t xml:space="preserve">A central webpage to be created on the </w:t>
      </w:r>
      <w:r>
        <w:rPr>
          <w:rFonts w:ascii="Arial" w:hAnsi="Arial"/>
          <w:sz w:val="24"/>
        </w:rPr>
        <w:t xml:space="preserve">Sector’s </w:t>
      </w:r>
      <w:r w:rsidRPr="00A46DB2">
        <w:rPr>
          <w:rFonts w:ascii="Arial" w:hAnsi="Arial"/>
          <w:sz w:val="24"/>
        </w:rPr>
        <w:t>intranet containing disability information, resources and supports.</w:t>
      </w:r>
    </w:p>
    <w:p w14:paraId="67A2E033" w14:textId="77777777" w:rsidR="00EC2FEE" w:rsidRPr="00A46DB2" w:rsidRDefault="00EC2FEE" w:rsidP="00EC2FEE">
      <w:pPr>
        <w:pStyle w:val="Title"/>
      </w:pPr>
      <w:r w:rsidRPr="00A46DB2">
        <w:t xml:space="preserve">Action </w:t>
      </w:r>
      <w:r>
        <w:t>5</w:t>
      </w:r>
      <w:r w:rsidRPr="00A46DB2">
        <w:t xml:space="preserve">: Measurable Target </w:t>
      </w:r>
    </w:p>
    <w:p w14:paraId="6E8004BA" w14:textId="77777777" w:rsidR="00EC2FEE" w:rsidRPr="00A46DB2" w:rsidRDefault="00EC2FEE" w:rsidP="00EC2FEE">
      <w:r w:rsidRPr="00A46DB2">
        <w:t>The creation of this web page.</w:t>
      </w:r>
    </w:p>
    <w:p w14:paraId="40424B9B" w14:textId="77777777" w:rsidR="00EC2FEE" w:rsidRPr="00A46DB2" w:rsidRDefault="00EC2FEE" w:rsidP="00EC2FEE">
      <w:pPr>
        <w:pStyle w:val="Title"/>
      </w:pPr>
      <w:r w:rsidRPr="00A46DB2">
        <w:t xml:space="preserve">Action </w:t>
      </w:r>
      <w:r>
        <w:t>6 (All Agencies)</w:t>
      </w:r>
    </w:p>
    <w:p w14:paraId="4A5B52D9" w14:textId="77777777" w:rsidR="00EC2FEE" w:rsidRPr="00A46DB2" w:rsidRDefault="00EC2FEE" w:rsidP="00EC2FEE">
      <w:pPr>
        <w:spacing w:line="259" w:lineRule="auto"/>
      </w:pPr>
      <w:r w:rsidRPr="00A46DB2">
        <w:t xml:space="preserve">Implement the Office for the Commissioner of Public Sector Employment </w:t>
      </w:r>
      <w:r>
        <w:t xml:space="preserve">(OCPSE) </w:t>
      </w:r>
      <w:r w:rsidRPr="007649A8">
        <w:t>Disability Awareness</w:t>
      </w:r>
      <w:r w:rsidRPr="00A46DB2">
        <w:t xml:space="preserve"> training for all </w:t>
      </w:r>
      <w:r>
        <w:t>Sector</w:t>
      </w:r>
      <w:r w:rsidRPr="00A46DB2">
        <w:t xml:space="preserve"> employees</w:t>
      </w:r>
      <w:r>
        <w:t>.</w:t>
      </w:r>
    </w:p>
    <w:p w14:paraId="2C862AFF" w14:textId="77777777" w:rsidR="00EC2FEE" w:rsidRPr="00A46DB2" w:rsidRDefault="00EC2FEE" w:rsidP="00EC2FEE">
      <w:pPr>
        <w:pStyle w:val="Title"/>
      </w:pPr>
      <w:r w:rsidRPr="00A46DB2">
        <w:t xml:space="preserve">Action </w:t>
      </w:r>
      <w:r>
        <w:t>6</w:t>
      </w:r>
      <w:r w:rsidRPr="00A46DB2">
        <w:t xml:space="preserve">: Measurable Target </w:t>
      </w:r>
    </w:p>
    <w:p w14:paraId="322C3C26" w14:textId="77777777" w:rsidR="00EC2FEE" w:rsidRPr="00040D63" w:rsidRDefault="00EC2FEE" w:rsidP="00EC2FEE">
      <w:pPr>
        <w:pStyle w:val="Tablereflist"/>
        <w:numPr>
          <w:ilvl w:val="0"/>
          <w:numId w:val="0"/>
        </w:numPr>
        <w:spacing w:line="259" w:lineRule="auto"/>
        <w:rPr>
          <w:rFonts w:ascii="Arial" w:hAnsi="Arial"/>
          <w:sz w:val="24"/>
        </w:rPr>
      </w:pPr>
      <w:r w:rsidRPr="00040D63">
        <w:rPr>
          <w:rFonts w:ascii="Arial" w:hAnsi="Arial"/>
          <w:sz w:val="24"/>
        </w:rPr>
        <w:t>The number of new and existing employees that have completed this training.</w:t>
      </w:r>
    </w:p>
    <w:p w14:paraId="660C4A87" w14:textId="77777777" w:rsidR="00EC2FEE" w:rsidRPr="00A46DB2" w:rsidRDefault="00EC2FEE" w:rsidP="00EC2FEE">
      <w:pPr>
        <w:pStyle w:val="Title"/>
      </w:pPr>
      <w:r w:rsidRPr="00A46DB2">
        <w:t xml:space="preserve">Action </w:t>
      </w:r>
      <w:r>
        <w:t>7 (All Agencies)</w:t>
      </w:r>
    </w:p>
    <w:p w14:paraId="00941D40" w14:textId="77777777" w:rsidR="00EC2FEE" w:rsidRPr="00A46DB2" w:rsidRDefault="00EC2FEE" w:rsidP="00EC2FEE">
      <w:pPr>
        <w:pStyle w:val="Tabletext"/>
        <w:spacing w:line="259" w:lineRule="auto"/>
        <w:rPr>
          <w:rFonts w:ascii="Arial" w:hAnsi="Arial"/>
          <w:sz w:val="24"/>
        </w:rPr>
      </w:pPr>
      <w:r w:rsidRPr="00A46DB2">
        <w:rPr>
          <w:rFonts w:ascii="Arial" w:hAnsi="Arial"/>
          <w:sz w:val="24"/>
        </w:rPr>
        <w:t xml:space="preserve">Agency complaint processes, procedures and feedback systems to be reviewed to ensure they are appropriate and accessible for people with a disability. </w:t>
      </w:r>
    </w:p>
    <w:p w14:paraId="4D32CB8F" w14:textId="77777777" w:rsidR="00EC2FEE" w:rsidRPr="00A46DB2" w:rsidRDefault="00EC2FEE" w:rsidP="00EC2FEE">
      <w:pPr>
        <w:pStyle w:val="Title"/>
      </w:pPr>
      <w:r w:rsidRPr="00A46DB2">
        <w:t xml:space="preserve">Action </w:t>
      </w:r>
      <w:r>
        <w:t>7</w:t>
      </w:r>
      <w:r w:rsidRPr="00A46DB2">
        <w:t xml:space="preserve">: Measurable Target </w:t>
      </w:r>
    </w:p>
    <w:p w14:paraId="30B80657" w14:textId="77777777" w:rsidR="00EC2FEE" w:rsidRPr="001E0308" w:rsidRDefault="00EC2FEE" w:rsidP="00EC2FEE">
      <w:pPr>
        <w:spacing w:before="240" w:after="240" w:line="259" w:lineRule="auto"/>
        <w:rPr>
          <w:bCs/>
        </w:rPr>
      </w:pPr>
      <w:r w:rsidRPr="001E0308">
        <w:rPr>
          <w:bCs/>
        </w:rPr>
        <w:t xml:space="preserve">Agency complaint and feedback processes </w:t>
      </w:r>
      <w:r>
        <w:rPr>
          <w:bCs/>
        </w:rPr>
        <w:t xml:space="preserve">written </w:t>
      </w:r>
      <w:r w:rsidRPr="001E0308">
        <w:rPr>
          <w:bCs/>
        </w:rPr>
        <w:t xml:space="preserve">in simple everyday language. </w:t>
      </w:r>
    </w:p>
    <w:p w14:paraId="1ED8114C" w14:textId="77777777" w:rsidR="00EC2FEE" w:rsidRPr="00404848" w:rsidRDefault="00EC2FEE" w:rsidP="00EC2FEE">
      <w:pPr>
        <w:spacing w:before="240" w:after="240" w:line="259" w:lineRule="auto"/>
        <w:rPr>
          <w:bCs/>
        </w:rPr>
      </w:pPr>
      <w:r w:rsidRPr="001E0308">
        <w:rPr>
          <w:bCs/>
        </w:rPr>
        <w:t xml:space="preserve">The </w:t>
      </w:r>
      <w:r w:rsidRPr="00404848">
        <w:rPr>
          <w:bCs/>
        </w:rPr>
        <w:t>number of requests met for information to be provided in alternate formats.</w:t>
      </w:r>
    </w:p>
    <w:p w14:paraId="621C5458" w14:textId="77777777" w:rsidR="00EC2FEE" w:rsidRPr="00404848" w:rsidRDefault="00EC2FEE" w:rsidP="00EC2FEE">
      <w:pPr>
        <w:pStyle w:val="Title"/>
      </w:pPr>
      <w:r w:rsidRPr="00404848">
        <w:t>Action 8 (All Agencies)</w:t>
      </w:r>
    </w:p>
    <w:p w14:paraId="73DC9599" w14:textId="77777777" w:rsidR="00EC2FEE" w:rsidRPr="00404848" w:rsidRDefault="00EC2FEE" w:rsidP="00EC2FEE">
      <w:r w:rsidRPr="00404848">
        <w:rPr>
          <w:szCs w:val="22"/>
        </w:rPr>
        <w:t>Agency induction processes for new employees include information about working with people living with disability.</w:t>
      </w:r>
    </w:p>
    <w:p w14:paraId="7064026B" w14:textId="77777777" w:rsidR="00EC2FEE" w:rsidRPr="00404848" w:rsidRDefault="00EC2FEE" w:rsidP="00EC2FEE">
      <w:pPr>
        <w:pStyle w:val="Title"/>
      </w:pPr>
      <w:r w:rsidRPr="00404848">
        <w:t xml:space="preserve">Action 8: Measurable Target </w:t>
      </w:r>
    </w:p>
    <w:p w14:paraId="47BDBC2E" w14:textId="77777777" w:rsidR="00EC2FEE" w:rsidRPr="00404848" w:rsidRDefault="00EC2FEE" w:rsidP="00EC2FEE">
      <w:r w:rsidRPr="00404848">
        <w:t>The number of new employees that have completed new starter induction processes.</w:t>
      </w:r>
    </w:p>
    <w:bookmarkEnd w:id="2"/>
    <w:p w14:paraId="339717AB" w14:textId="77777777" w:rsidR="00EC2FEE" w:rsidRDefault="00EC2FEE"/>
    <w:sectPr w:rsidR="00EC2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yTmAOBZuoicKcj0O+TE7VuVzC6LsgTn8yPWdO8H0SrlZ2uCJB5dLla/DHNEOBI1r/0oSs4SLWKScZup3GPfsHA==" w:salt="LgMTvRzWzYrs4R4dlIxQ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E5"/>
    <w:rsid w:val="001028E5"/>
    <w:rsid w:val="00711B7C"/>
    <w:rsid w:val="007216A8"/>
    <w:rsid w:val="00816E32"/>
    <w:rsid w:val="00EC2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1999"/>
  <w15:chartTrackingRefBased/>
  <w15:docId w15:val="{99F5D4D2-5B0C-429B-8ADE-E85C58B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EE"/>
    <w:pPr>
      <w:spacing w:line="240" w:lineRule="auto"/>
    </w:pPr>
    <w:rPr>
      <w:rFonts w:ascii="Arial" w:eastAsia="Calibri" w:hAnsi="Arial" w:cs="Arial"/>
      <w:sz w:val="24"/>
      <w:szCs w:val="24"/>
    </w:rPr>
  </w:style>
  <w:style w:type="paragraph" w:styleId="Heading1">
    <w:name w:val="heading 1"/>
    <w:basedOn w:val="Normal"/>
    <w:next w:val="Normal"/>
    <w:link w:val="Heading1Char"/>
    <w:uiPriority w:val="9"/>
    <w:qFormat/>
    <w:rsid w:val="00EC2FEE"/>
    <w:pPr>
      <w:keepNext/>
      <w:keepLines/>
      <w:spacing w:after="240"/>
      <w:outlineLvl w:val="0"/>
    </w:pPr>
    <w:rPr>
      <w:rFonts w:eastAsiaTheme="maj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FEE"/>
    <w:rPr>
      <w:rFonts w:ascii="Arial" w:eastAsiaTheme="majorEastAsia" w:hAnsi="Arial" w:cs="Arial"/>
      <w:b/>
      <w:bCs/>
      <w:sz w:val="36"/>
      <w:szCs w:val="36"/>
    </w:rPr>
  </w:style>
  <w:style w:type="paragraph" w:customStyle="1" w:styleId="BulletList">
    <w:name w:val="Bullet List"/>
    <w:basedOn w:val="ListParagraph"/>
    <w:link w:val="BulletListChar"/>
    <w:qFormat/>
    <w:rsid w:val="00EC2FEE"/>
    <w:pPr>
      <w:numPr>
        <w:numId w:val="1"/>
      </w:numPr>
      <w:tabs>
        <w:tab w:val="left" w:pos="426"/>
      </w:tabs>
      <w:spacing w:before="100" w:after="100"/>
      <w:ind w:left="425" w:hanging="425"/>
      <w:contextualSpacing w:val="0"/>
    </w:pPr>
  </w:style>
  <w:style w:type="character" w:customStyle="1" w:styleId="BulletListChar">
    <w:name w:val="Bullet List Char"/>
    <w:basedOn w:val="DefaultParagraphFont"/>
    <w:link w:val="BulletList"/>
    <w:rsid w:val="00EC2FEE"/>
    <w:rPr>
      <w:rFonts w:ascii="Arial" w:eastAsia="Calibri" w:hAnsi="Arial" w:cs="Arial"/>
      <w:sz w:val="24"/>
      <w:szCs w:val="24"/>
    </w:rPr>
  </w:style>
  <w:style w:type="paragraph" w:customStyle="1" w:styleId="Tabletext">
    <w:name w:val="Table text"/>
    <w:basedOn w:val="Normal"/>
    <w:qFormat/>
    <w:rsid w:val="00EC2FEE"/>
    <w:pPr>
      <w:spacing w:after="0"/>
    </w:pPr>
    <w:rPr>
      <w:rFonts w:asciiTheme="minorHAnsi" w:eastAsia="Times New Roman" w:hAnsiTheme="minorHAnsi"/>
      <w:sz w:val="22"/>
    </w:rPr>
  </w:style>
  <w:style w:type="paragraph" w:customStyle="1" w:styleId="Tablereflist">
    <w:name w:val="Table ref list"/>
    <w:basedOn w:val="ListParagraph"/>
    <w:qFormat/>
    <w:rsid w:val="00EC2FEE"/>
    <w:pPr>
      <w:numPr>
        <w:numId w:val="2"/>
      </w:numPr>
      <w:tabs>
        <w:tab w:val="left" w:pos="284"/>
        <w:tab w:val="num" w:pos="360"/>
      </w:tabs>
      <w:spacing w:after="0"/>
      <w:ind w:left="284" w:hanging="284"/>
    </w:pPr>
    <w:rPr>
      <w:rFonts w:asciiTheme="minorHAnsi" w:eastAsia="Times New Roman" w:hAnsiTheme="minorHAnsi"/>
      <w:sz w:val="22"/>
    </w:rPr>
  </w:style>
  <w:style w:type="paragraph" w:styleId="Title">
    <w:name w:val="Title"/>
    <w:basedOn w:val="Normal"/>
    <w:next w:val="Normal"/>
    <w:link w:val="TitleChar"/>
    <w:uiPriority w:val="10"/>
    <w:qFormat/>
    <w:rsid w:val="00EC2FEE"/>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C2FEE"/>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EC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2514</Characters>
  <Application>Microsoft Office Word</Application>
  <DocSecurity>8</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Roomes</dc:creator>
  <cp:keywords/>
  <dc:description/>
  <cp:lastModifiedBy>Joanne Roomes</cp:lastModifiedBy>
  <cp:revision>4</cp:revision>
  <cp:lastPrinted>2020-10-26T05:34:00Z</cp:lastPrinted>
  <dcterms:created xsi:type="dcterms:W3CDTF">2020-10-26T04:28:00Z</dcterms:created>
  <dcterms:modified xsi:type="dcterms:W3CDTF">2020-10-26T05:37:00Z</dcterms:modified>
</cp:coreProperties>
</file>